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reść"/>
        <w:rPr>
          <w:rFonts w:ascii="Times New Roman" w:hAnsi="Times New Roman"/>
          <w:sz w:val="24"/>
          <w:szCs w:val="24"/>
        </w:rPr>
      </w:pPr>
    </w:p>
    <w:p>
      <w:pPr>
        <w:pStyle w:val="Treść"/>
        <w:rPr>
          <w:rFonts w:ascii="Times New Roman" w:hAnsi="Times New Roman"/>
          <w:sz w:val="24"/>
          <w:szCs w:val="24"/>
        </w:rPr>
      </w:pPr>
    </w:p>
    <w:p>
      <w:pPr>
        <w:pStyle w:val="Treść"/>
        <w:jc w:val="center"/>
        <w:rPr>
          <w:rFonts w:ascii="Times New Roman" w:hAnsi="Times New Roman"/>
          <w:sz w:val="24"/>
          <w:szCs w:val="24"/>
        </w:rPr>
      </w:pPr>
    </w:p>
    <w:p>
      <w:pPr>
        <w:pStyle w:val="Treść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Welcome to our Call for Papers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 – </w:t>
      </w:r>
      <w:r>
        <w:rPr>
          <w:rFonts w:ascii="Times New Roman" w:hAnsi="Times New Roman"/>
          <w:sz w:val="24"/>
          <w:szCs w:val="24"/>
          <w:rtl w:val="0"/>
        </w:rPr>
        <w:t xml:space="preserve">Special Session </w:t>
      </w:r>
      <w:r>
        <w:rPr>
          <w:rFonts w:ascii="Times New Roman" w:hAnsi="Times New Roman"/>
          <w:sz w:val="24"/>
          <w:szCs w:val="24"/>
          <w:rtl w:val="0"/>
        </w:rPr>
        <w:t>#03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Digital Archaeological Heritage for the Education of New Generations</w:t>
      </w:r>
    </w:p>
    <w:p>
      <w:pPr>
        <w:pStyle w:val="Treść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reść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Dear Colleagues,</w:t>
      </w:r>
    </w:p>
    <w:p>
      <w:pPr>
        <w:pStyle w:val="Treść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reść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We would like to encourage </w:t>
      </w:r>
      <w:r>
        <w:rPr>
          <w:rFonts w:ascii="Times New Roman" w:hAnsi="Times New Roman"/>
          <w:sz w:val="24"/>
          <w:szCs w:val="24"/>
          <w:rtl w:val="0"/>
        </w:rPr>
        <w:t>researchers, heritage professionals, educators, site and museum managers, practitioners, digital specialists and community representatives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to submit </w:t>
      </w:r>
      <w:r>
        <w:rPr>
          <w:rFonts w:ascii="Times New Roman" w:hAnsi="Times New Roman"/>
          <w:sz w:val="24"/>
          <w:szCs w:val="24"/>
          <w:rtl w:val="0"/>
        </w:rPr>
        <w:t>their abstract/paper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</w:rPr>
        <w:t>to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</w:rPr>
        <w:t>S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pecial </w:t>
      </w:r>
      <w:r>
        <w:rPr>
          <w:rFonts w:ascii="Times New Roman" w:hAnsi="Times New Roman"/>
          <w:sz w:val="24"/>
          <w:szCs w:val="24"/>
          <w:rtl w:val="0"/>
        </w:rPr>
        <w:t>S</w:t>
      </w:r>
      <w:r>
        <w:rPr>
          <w:rFonts w:ascii="Times New Roman" w:hAnsi="Times New Roman"/>
          <w:sz w:val="24"/>
          <w:szCs w:val="24"/>
          <w:rtl w:val="0"/>
          <w:lang w:val="fr-FR"/>
        </w:rPr>
        <w:t>ession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</w:rPr>
        <w:t>#03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Digital Archaeological Heritage for the Education of New Generations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</w:rPr>
        <w:t xml:space="preserve">to be held in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Bari, Italy, from 14 to 16 October 2026</w:t>
      </w:r>
      <w:r>
        <w:rPr>
          <w:rFonts w:ascii="Times New Roman" w:hAnsi="Times New Roman"/>
          <w:sz w:val="24"/>
          <w:szCs w:val="24"/>
          <w:rtl w:val="0"/>
        </w:rPr>
        <w:t xml:space="preserve">, as part of the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IMEKO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MetroArchaeo 2026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 INTERNATIONAL CONFERENCE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on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 Metrology for Archaeology and Cultural Heritage</w:t>
      </w:r>
      <w:r>
        <w:rPr>
          <w:rFonts w:ascii="Times New Roman" w:hAnsi="Times New Roman"/>
          <w:sz w:val="24"/>
          <w:szCs w:val="24"/>
          <w:rtl w:val="0"/>
        </w:rPr>
        <w:t xml:space="preserve"> (</w: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4"/>
          <w:szCs w:val="24"/>
        </w:rPr>
        <w:instrText xml:space="preserve"> HYPERLINK "https://www.metroarcheo.com/"</w:instrTex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</w:rPr>
        <w:fldChar w:fldCharType="separate" w:fldLock="0"/>
      </w:r>
      <w:r>
        <w:rPr>
          <w:rStyle w:val="Hyperlink.0"/>
          <w:rFonts w:ascii="Times New Roman" w:hAnsi="Times New Roman"/>
          <w:sz w:val="24"/>
          <w:szCs w:val="24"/>
          <w:rtl w:val="0"/>
          <w:lang w:val="en-US"/>
        </w:rPr>
        <w:t>https://www.metroarcheo.com/</w:t>
      </w:r>
      <w:r>
        <w:rPr>
          <w:rFonts w:ascii="Times New Roman" w:cs="Times New Roman" w:hAnsi="Times New Roman" w:eastAsia="Times New Roman"/>
          <w:sz w:val="24"/>
          <w:szCs w:val="24"/>
        </w:rPr>
        <w:fldChar w:fldCharType="end" w:fldLock="0"/>
      </w:r>
      <w:r>
        <w:rPr>
          <w:rFonts w:ascii="Times New Roman" w:hAnsi="Times New Roman"/>
          <w:sz w:val="24"/>
          <w:szCs w:val="24"/>
          <w:rtl w:val="0"/>
        </w:rPr>
        <w:t>).</w:t>
      </w:r>
    </w:p>
    <w:p>
      <w:pPr>
        <w:pStyle w:val="Treść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reść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The session, approved </w:t>
      </w:r>
      <w:r>
        <w:rPr>
          <w:rFonts w:ascii="Times New Roman" w:hAnsi="Times New Roman"/>
          <w:sz w:val="24"/>
          <w:szCs w:val="24"/>
          <w:rtl w:val="0"/>
          <w:lang w:val="en-US"/>
        </w:rPr>
        <w:t>by the Scientific Committee</w:t>
      </w:r>
      <w:r>
        <w:rPr>
          <w:rFonts w:ascii="Times New Roman" w:hAnsi="Times New Roman"/>
          <w:sz w:val="24"/>
          <w:szCs w:val="24"/>
          <w:rtl w:val="0"/>
        </w:rPr>
        <w:t xml:space="preserve"> of </w:t>
      </w:r>
      <w:r>
        <w:rPr>
          <w:rFonts w:ascii="Times New Roman" w:hAnsi="Times New Roman"/>
          <w:sz w:val="24"/>
          <w:szCs w:val="24"/>
          <w:rtl w:val="0"/>
        </w:rPr>
        <w:t>2026 IMEKO TC26</w:t>
      </w:r>
      <w:r>
        <w:rPr>
          <w:rFonts w:ascii="Times New Roman" w:hAnsi="Times New Roman"/>
          <w:sz w:val="24"/>
          <w:szCs w:val="24"/>
          <w:rtl w:val="0"/>
        </w:rPr>
        <w:t>, will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explore the design, </w:t>
      </w:r>
      <w:r>
        <w:rPr>
          <w:rFonts w:ascii="Times New Roman" w:hAnsi="Times New Roman"/>
          <w:sz w:val="24"/>
          <w:szCs w:val="24"/>
          <w:rtl w:val="0"/>
        </w:rPr>
        <w:t>development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, and pedagogical use of digital archaeological heritage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including museum collections, archaeological sites, archives, and documentation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to support the education of </w:t>
      </w:r>
      <w:r>
        <w:rPr>
          <w:rFonts w:ascii="Times New Roman" w:hAnsi="Times New Roman"/>
          <w:sz w:val="24"/>
          <w:szCs w:val="24"/>
          <w:rtl w:val="0"/>
        </w:rPr>
        <w:t>younger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generations.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Particular attention will be given to early childhood and primary education. </w:t>
      </w:r>
      <w:r>
        <w:rPr>
          <w:rFonts w:ascii="Times New Roman" w:hAnsi="Times New Roman"/>
          <w:sz w:val="24"/>
          <w:szCs w:val="24"/>
          <w:rtl w:val="0"/>
        </w:rPr>
        <w:t>The session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addresses how digital </w:t>
      </w:r>
      <w:r>
        <w:rPr>
          <w:rFonts w:ascii="Times New Roman" w:hAnsi="Times New Roman"/>
          <w:sz w:val="24"/>
          <w:szCs w:val="24"/>
          <w:rtl w:val="0"/>
        </w:rPr>
        <w:t>technologies and tools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can transform archaeological knowledge into meaningful, accessible, and engaging learning experience</w:t>
      </w:r>
      <w:r>
        <w:rPr>
          <w:rFonts w:ascii="Times New Roman" w:hAnsi="Times New Roman"/>
          <w:sz w:val="24"/>
          <w:szCs w:val="24"/>
          <w:rtl w:val="0"/>
        </w:rPr>
        <w:t>s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for young </w:t>
      </w:r>
      <w:r>
        <w:rPr>
          <w:rFonts w:ascii="Times New Roman" w:hAnsi="Times New Roman"/>
          <w:sz w:val="24"/>
          <w:szCs w:val="24"/>
          <w:rtl w:val="0"/>
        </w:rPr>
        <w:t>audiences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Treść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omyślne"/>
        <w:bidi w:val="0"/>
        <w:spacing w:before="0" w:line="240" w:lineRule="auto"/>
        <w:ind w:left="0" w:right="0" w:firstLine="0"/>
        <w:jc w:val="center"/>
        <w:rPr>
          <w:rFonts w:ascii="Times Roman" w:cs="Times Roman" w:hAnsi="Times Roman" w:eastAsia="Times Roman"/>
          <w:b w:val="1"/>
          <w:bCs w:val="1"/>
          <w:rtl w:val="0"/>
        </w:rPr>
      </w:pPr>
      <w:r>
        <w:rPr>
          <w:rFonts w:ascii="Times Roman" w:hAnsi="Times Roman"/>
          <w:b w:val="1"/>
          <w:bCs w:val="1"/>
          <w:rtl w:val="0"/>
          <w:lang w:val="en-US"/>
        </w:rPr>
        <w:t>Scope and Topics</w:t>
      </w:r>
    </w:p>
    <w:p>
      <w:pPr>
        <w:pStyle w:val="Treść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The session encompasses a </w:t>
      </w:r>
      <w:r>
        <w:rPr>
          <w:rFonts w:ascii="Times New Roman" w:hAnsi="Times New Roman"/>
          <w:sz w:val="24"/>
          <w:szCs w:val="24"/>
          <w:rtl w:val="0"/>
        </w:rPr>
        <w:t>broad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range of digital methods and technologies for representing, interpreting, and communicating archaeological heritage. We welcome theoretical, methodological, and applied contributions addressing (but not limited to) the following themes:</w:t>
      </w:r>
    </w:p>
    <w:p>
      <w:pPr>
        <w:pStyle w:val="Treść"/>
        <w:numPr>
          <w:ilvl w:val="0"/>
          <w:numId w:val="2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3D visualisation and modelling</w:t>
      </w:r>
    </w:p>
    <w:p>
      <w:pPr>
        <w:pStyle w:val="Treść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V</w:t>
      </w:r>
      <w:r>
        <w:rPr>
          <w:rFonts w:ascii="Times New Roman" w:hAnsi="Times New Roman"/>
          <w:sz w:val="24"/>
          <w:szCs w:val="24"/>
          <w:rtl w:val="0"/>
          <w:lang w:val="en-US"/>
        </w:rPr>
        <w:t>irtual and augmented reality environments</w:t>
      </w:r>
    </w:p>
    <w:p>
      <w:pPr>
        <w:pStyle w:val="Treść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I</w:t>
      </w:r>
      <w:r>
        <w:rPr>
          <w:rFonts w:ascii="Times New Roman" w:hAnsi="Times New Roman"/>
          <w:sz w:val="24"/>
          <w:szCs w:val="24"/>
          <w:rtl w:val="0"/>
          <w:lang w:val="en-US"/>
        </w:rPr>
        <w:t>nteractive digital applications</w:t>
      </w:r>
    </w:p>
    <w:p>
      <w:pPr>
        <w:pStyle w:val="Treść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S</w:t>
      </w:r>
      <w:r>
        <w:rPr>
          <w:rFonts w:ascii="Times New Roman" w:hAnsi="Times New Roman"/>
          <w:sz w:val="24"/>
          <w:szCs w:val="24"/>
          <w:rtl w:val="0"/>
          <w:lang w:val="en-US"/>
        </w:rPr>
        <w:t>erious games</w:t>
      </w:r>
    </w:p>
    <w:p>
      <w:pPr>
        <w:pStyle w:val="Treść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D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igital storytelling, </w:t>
      </w:r>
    </w:p>
    <w:p>
      <w:pPr>
        <w:pStyle w:val="Treść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C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urated digital collections. </w:t>
      </w:r>
    </w:p>
    <w:p>
      <w:pPr>
        <w:pStyle w:val="Treść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reść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Contributions may </w:t>
      </w:r>
      <w:r>
        <w:rPr>
          <w:rFonts w:ascii="Times New Roman" w:hAnsi="Times New Roman"/>
          <w:sz w:val="24"/>
          <w:szCs w:val="24"/>
          <w:rtl w:val="0"/>
        </w:rPr>
        <w:t>address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both the development of </w:t>
      </w:r>
      <w:r>
        <w:rPr>
          <w:rFonts w:ascii="Times New Roman" w:hAnsi="Times New Roman"/>
          <w:sz w:val="24"/>
          <w:szCs w:val="24"/>
          <w:rtl w:val="0"/>
        </w:rPr>
        <w:t>technological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tools and their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implementation </w:t>
      </w:r>
      <w:r>
        <w:rPr>
          <w:rFonts w:ascii="Times New Roman" w:hAnsi="Times New Roman"/>
          <w:sz w:val="24"/>
          <w:szCs w:val="24"/>
          <w:rtl w:val="0"/>
        </w:rPr>
        <w:t>in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various contexts with an aim of supporting both formal and informal education, as well as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theoretical research on the use of digital methods in the education.</w:t>
      </w:r>
    </w:p>
    <w:p>
      <w:pPr>
        <w:pStyle w:val="Treść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omyślne"/>
        <w:bidi w:val="0"/>
        <w:spacing w:before="0" w:line="240" w:lineRule="auto"/>
        <w:ind w:left="0" w:right="0" w:firstLine="0"/>
        <w:jc w:val="center"/>
        <w:rPr>
          <w:rFonts w:ascii="Times Roman" w:cs="Times Roman" w:hAnsi="Times Roman" w:eastAsia="Times Roman"/>
          <w:b w:val="1"/>
          <w:bCs w:val="1"/>
          <w:rtl w:val="0"/>
        </w:rPr>
      </w:pPr>
      <w:r>
        <w:rPr>
          <w:rFonts w:ascii="Times Roman" w:hAnsi="Times Roman"/>
          <w:b w:val="1"/>
          <w:bCs w:val="1"/>
          <w:rtl w:val="0"/>
          <w:lang w:val="en-US"/>
        </w:rPr>
        <w:t xml:space="preserve">Additional </w:t>
      </w:r>
      <w:r>
        <w:rPr>
          <w:rFonts w:ascii="Times Roman" w:hAnsi="Times Roman"/>
          <w:b w:val="1"/>
          <w:bCs w:val="1"/>
          <w:rtl w:val="0"/>
        </w:rPr>
        <w:t>i</w:t>
      </w:r>
      <w:r>
        <w:rPr>
          <w:rFonts w:ascii="Times Roman" w:hAnsi="Times Roman"/>
          <w:b w:val="1"/>
          <w:bCs w:val="1"/>
          <w:rtl w:val="0"/>
          <w:lang w:val="fr-FR"/>
        </w:rPr>
        <w:t>nformation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rtl w:val="0"/>
        </w:rPr>
      </w:pPr>
    </w:p>
    <w:p>
      <w:pPr>
        <w:pStyle w:val="Treść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More about the session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: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4"/>
          <w:szCs w:val="24"/>
        </w:rPr>
        <w:instrText xml:space="preserve"> HYPERLINK "https://www.metroarcheo.com/special-session-03"</w:instrTex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</w:rPr>
        <w:fldChar w:fldCharType="separate" w:fldLock="0"/>
      </w:r>
      <w:r>
        <w:rPr>
          <w:rStyle w:val="Hyperlink.0"/>
          <w:rFonts w:ascii="Times New Roman" w:hAnsi="Times New Roman"/>
          <w:sz w:val="24"/>
          <w:szCs w:val="24"/>
          <w:rtl w:val="0"/>
          <w:lang w:val="en-US"/>
        </w:rPr>
        <w:t>https://www.metroarcheo.com/special-session-03</w:t>
      </w:r>
      <w:r>
        <w:rPr>
          <w:rFonts w:ascii="Times New Roman" w:cs="Times New Roman" w:hAnsi="Times New Roman" w:eastAsia="Times New Roman"/>
          <w:sz w:val="24"/>
          <w:szCs w:val="24"/>
        </w:rPr>
        <w:fldChar w:fldCharType="end" w:fldLock="0"/>
      </w:r>
    </w:p>
    <w:p>
      <w:pPr>
        <w:pStyle w:val="Treść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reść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Submission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guidelines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4"/>
          <w:szCs w:val="24"/>
        </w:rPr>
        <w:instrText xml:space="preserve"> HYPERLINK "https://www.metroarcheo.com/initial-author-instructions"</w:instrTex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</w:rPr>
        <w:fldChar w:fldCharType="separate" w:fldLock="0"/>
      </w:r>
      <w:r>
        <w:rPr>
          <w:rStyle w:val="Hyperlink.0"/>
          <w:rFonts w:ascii="Times New Roman" w:hAnsi="Times New Roman"/>
          <w:sz w:val="24"/>
          <w:szCs w:val="24"/>
          <w:rtl w:val="0"/>
          <w:lang w:val="en-US"/>
        </w:rPr>
        <w:t>https://www.metroarcheo.com/initial-author-instructions</w:t>
      </w:r>
      <w:r>
        <w:rPr>
          <w:rFonts w:ascii="Times New Roman" w:cs="Times New Roman" w:hAnsi="Times New Roman" w:eastAsia="Times New Roman"/>
          <w:sz w:val="24"/>
          <w:szCs w:val="24"/>
        </w:rPr>
        <w:fldChar w:fldCharType="end" w:fldLock="0"/>
      </w:r>
    </w:p>
    <w:p>
      <w:pPr>
        <w:pStyle w:val="Treść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reść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Important dates</w:t>
      </w:r>
    </w:p>
    <w:p>
      <w:pPr>
        <w:pStyle w:val="Treść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Extended abstract submission deadline: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May 15, 2026</w:t>
      </w:r>
    </w:p>
    <w:p>
      <w:pPr>
        <w:pStyle w:val="Treść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Notification of acceptance: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July 10, 2026</w:t>
      </w:r>
    </w:p>
    <w:p>
      <w:pPr>
        <w:pStyle w:val="Treść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Final papers submission deadline: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September 8, 2026</w:t>
      </w:r>
    </w:p>
    <w:p>
      <w:pPr>
        <w:pStyle w:val="Treść"/>
      </w:pPr>
      <w:r>
        <w:rPr>
          <w:rFonts w:ascii="Times New Roman" w:hAnsi="Times New Roman"/>
          <w:sz w:val="24"/>
          <w:szCs w:val="24"/>
          <w:rtl w:val="0"/>
        </w:rPr>
        <w:t>Conference dates: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 October 14-16, 2026 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nktor"/>
  </w:abstractNum>
  <w:abstractNum w:abstractNumId="1">
    <w:multiLevelType w:val="hybridMultilevel"/>
    <w:styleLink w:val="Punktor"/>
    <w:lvl w:ilvl="0">
      <w:start w:val="1"/>
      <w:numFmt w:val="bullet"/>
      <w:suff w:val="tab"/>
      <w:lvlText w:val="•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reść">
    <w:name w:val="Treść"/>
    <w:next w:val="Treś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  <w:style w:type="paragraph" w:styleId="Domyślne">
    <w:name w:val="Domyślne"/>
    <w:next w:val="Domyśln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Punktor">
    <w:name w:val="Punktor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